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1"/>
        <w:jc w:val="center"/>
        <w:rPr>
          <w:rFonts w:ascii="Times New Roman" w:hAnsi="Times New Roman"/>
          <w:b/>
        </w:rPr>
      </w:pPr>
      <w:r>
        <w:rPr>
          <w:rFonts w:ascii="Times New Roman" w:hAnsi="Times New Roman"/>
          <w:b/>
        </w:rPr>
        <w:t>DECLARAŢIE PRIVIND NEÎNCADRAREA ÎN ART. 164 DIN LEGEA 98/2016</w:t>
      </w:r>
    </w:p>
    <w:p>
      <w:pPr>
        <w:pStyle w:val="11"/>
        <w:jc w:val="both"/>
        <w:rPr>
          <w:rFonts w:ascii="Times New Roman" w:hAnsi="Times New Roman"/>
        </w:rPr>
      </w:pPr>
    </w:p>
    <w:p>
      <w:pPr>
        <w:pStyle w:val="1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r>
        <w:rPr>
          <w:rFonts w:ascii="Times New Roman" w:hAnsi="Times New Roman"/>
        </w:rPr>
        <w:t>Operator economic,</w:t>
      </w:r>
    </w:p>
    <w:p>
      <w:pPr>
        <w:pStyle w:val="11"/>
        <w:ind w:left="5040" w:firstLine="720"/>
        <w:jc w:val="center"/>
        <w:rPr>
          <w:rFonts w:ascii="Times New Roman" w:hAnsi="Times New Roman"/>
        </w:rPr>
      </w:pPr>
      <w:r>
        <w:rPr>
          <w:rFonts w:ascii="Times New Roman" w:hAnsi="Times New Roman"/>
        </w:rPr>
        <w:t>_________________</w:t>
      </w:r>
    </w:p>
    <w:p>
      <w:pPr>
        <w:pStyle w:val="11"/>
        <w:ind w:left="504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pPr>
        <w:pStyle w:val="11"/>
        <w:jc w:val="both"/>
        <w:rPr>
          <w:rFonts w:ascii="Times New Roman" w:hAnsi="Times New Roman"/>
        </w:rPr>
      </w:pPr>
      <w:r>
        <w:rPr>
          <w:rFonts w:ascii="Times New Roman" w:hAnsi="Times New Roman"/>
        </w:rPr>
        <w:t xml:space="preserve">  _____________________</w:t>
      </w:r>
    </w:p>
    <w:p>
      <w:pPr>
        <w:pStyle w:val="11"/>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1"/>
        <w:jc w:val="both"/>
        <w:rPr>
          <w:rFonts w:ascii="Times New Roman" w:hAnsi="Times New Roman"/>
          <w:u w:val="single"/>
        </w:rPr>
      </w:pPr>
    </w:p>
    <w:p>
      <w:pPr>
        <w:pStyle w:val="11"/>
        <w:jc w:val="center"/>
        <w:rPr>
          <w:rFonts w:ascii="Times New Roman" w:hAnsi="Times New Roman"/>
          <w:b/>
        </w:rPr>
      </w:pPr>
      <w:r>
        <w:rPr>
          <w:rFonts w:ascii="Times New Roman" w:hAnsi="Times New Roman"/>
          <w:b/>
        </w:rPr>
        <w:t>DECLARAŢIE PRIVIND NEÎNCADRAREA ÎN ART. 165 ȘI 167 DIN LEGEA 98/2016</w:t>
      </w:r>
    </w:p>
    <w:p>
      <w:pPr>
        <w:pStyle w:val="11"/>
        <w:jc w:val="both"/>
        <w:rPr>
          <w:rFonts w:ascii="Times New Roman" w:hAnsi="Times New Roman"/>
        </w:rPr>
      </w:pPr>
    </w:p>
    <w:p>
      <w:pPr>
        <w:pStyle w:val="1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ind w:firstLine="284"/>
        <w:jc w:val="both"/>
        <w:rPr>
          <w:b/>
          <w:bCs/>
          <w:color w:val="000000"/>
          <w:sz w:val="22"/>
          <w:szCs w:val="22"/>
        </w:rPr>
      </w:pPr>
    </w:p>
    <w:p>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9"/>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6480" w:firstLine="720"/>
        <w:jc w:val="center"/>
        <w:rPr>
          <w:rFonts w:ascii="Times New Roman" w:hAnsi="Times New Roman"/>
          <w:i/>
          <w:iCs/>
        </w:rPr>
      </w:pPr>
    </w:p>
    <w:p>
      <w:pPr>
        <w:pStyle w:val="11"/>
        <w:ind w:left="6480" w:firstLine="720"/>
        <w:jc w:val="center"/>
        <w:rPr>
          <w:rFonts w:ascii="Times New Roman" w:hAnsi="Times New Roman"/>
          <w:i/>
          <w:iCs/>
        </w:rPr>
      </w:pPr>
      <w:r>
        <w:rPr>
          <w:rFonts w:ascii="Times New Roman" w:hAnsi="Times New Roman"/>
          <w:i/>
          <w:iCs/>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11"/>
        <w:jc w:val="center"/>
        <w:rPr>
          <w:rFonts w:ascii="Times New Roman" w:hAnsi="Times New Roman"/>
          <w:b/>
        </w:rPr>
      </w:pPr>
      <w:r>
        <w:rPr>
          <w:rFonts w:ascii="Times New Roman" w:hAnsi="Times New Roman"/>
          <w:b/>
        </w:rPr>
        <w:t>DECLARAŢIE PRIVIND EVITAREA CONFLICTULUI DE INTERESE POTRIVIT</w:t>
      </w:r>
    </w:p>
    <w:p>
      <w:pPr>
        <w:pStyle w:val="11"/>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4"/>
        </w:numPr>
        <w:jc w:val="both"/>
        <w:rPr>
          <w:sz w:val="22"/>
          <w:szCs w:val="22"/>
        </w:rPr>
      </w:pPr>
      <w:r>
        <w:rPr>
          <w:sz w:val="22"/>
          <w:szCs w:val="22"/>
          <w:lang w:val="ro-RO"/>
        </w:rPr>
        <w:t xml:space="preserve">Mereuta Emil </w:t>
      </w:r>
    </w:p>
    <w:p>
      <w:pPr>
        <w:numPr>
          <w:ilvl w:val="0"/>
          <w:numId w:val="4"/>
        </w:numPr>
        <w:jc w:val="both"/>
        <w:rPr>
          <w:sz w:val="22"/>
          <w:szCs w:val="22"/>
        </w:rPr>
      </w:pPr>
      <w:r>
        <w:rPr>
          <w:sz w:val="22"/>
          <w:szCs w:val="22"/>
          <w:lang w:val="ro-RO"/>
        </w:rPr>
        <w:t>Barbatu Andrada</w:t>
      </w:r>
    </w:p>
    <w:p>
      <w:pPr>
        <w:numPr>
          <w:ilvl w:val="0"/>
          <w:numId w:val="4"/>
        </w:numPr>
        <w:jc w:val="both"/>
        <w:rPr>
          <w:sz w:val="22"/>
          <w:szCs w:val="22"/>
        </w:rPr>
      </w:pPr>
      <w:r>
        <w:rPr>
          <w:sz w:val="22"/>
          <w:szCs w:val="22"/>
          <w:lang w:val="ro-RO"/>
        </w:rPr>
        <w:t>Zahariciuc Iuliana</w:t>
      </w:r>
    </w:p>
    <w:p>
      <w:pPr>
        <w:numPr>
          <w:ilvl w:val="0"/>
          <w:numId w:val="4"/>
        </w:numPr>
        <w:jc w:val="both"/>
        <w:rPr>
          <w:sz w:val="22"/>
          <w:szCs w:val="22"/>
        </w:rPr>
      </w:pPr>
      <w:r>
        <w:rPr>
          <w:sz w:val="22"/>
          <w:szCs w:val="22"/>
          <w:lang w:val="ro-RO"/>
        </w:rPr>
        <w:t>Velica Ecaterina</w:t>
      </w:r>
    </w:p>
    <w:p>
      <w:pPr>
        <w:numPr>
          <w:ilvl w:val="0"/>
          <w:numId w:val="4"/>
        </w:numPr>
        <w:jc w:val="both"/>
        <w:rPr>
          <w:sz w:val="22"/>
          <w:szCs w:val="22"/>
        </w:rPr>
      </w:pPr>
      <w:r>
        <w:rPr>
          <w:sz w:val="22"/>
          <w:szCs w:val="22"/>
          <w:lang w:val="ro-RO"/>
        </w:rPr>
        <w:t>Leu Aurelia</w:t>
      </w:r>
    </w:p>
    <w:p>
      <w:pPr>
        <w:numPr>
          <w:ilvl w:val="0"/>
          <w:numId w:val="4"/>
        </w:numPr>
        <w:jc w:val="both"/>
        <w:rPr>
          <w:sz w:val="22"/>
          <w:szCs w:val="22"/>
        </w:rPr>
      </w:pPr>
      <w:r>
        <w:rPr>
          <w:sz w:val="22"/>
          <w:szCs w:val="22"/>
          <w:lang w:val="ro-RO"/>
        </w:rPr>
        <w:t>Madularu Anca</w:t>
      </w:r>
    </w:p>
    <w:p>
      <w:pPr>
        <w:numPr>
          <w:ilvl w:val="0"/>
          <w:numId w:val="4"/>
        </w:numPr>
        <w:jc w:val="both"/>
        <w:rPr>
          <w:sz w:val="22"/>
          <w:szCs w:val="22"/>
        </w:rPr>
      </w:pPr>
      <w:r>
        <w:rPr>
          <w:sz w:val="22"/>
          <w:szCs w:val="22"/>
          <w:lang w:val="ro-RO"/>
        </w:rPr>
        <w:t>Mitu Silvia</w:t>
      </w:r>
    </w:p>
    <w:p>
      <w:pPr>
        <w:numPr>
          <w:ilvl w:val="0"/>
          <w:numId w:val="4"/>
        </w:numPr>
        <w:jc w:val="both"/>
        <w:rPr>
          <w:sz w:val="22"/>
          <w:szCs w:val="22"/>
        </w:rPr>
      </w:pPr>
      <w:r>
        <w:rPr>
          <w:sz w:val="22"/>
          <w:szCs w:val="22"/>
          <w:lang w:val="ro-RO"/>
        </w:rPr>
        <w:t>Ou Daniela</w:t>
      </w:r>
    </w:p>
    <w:p>
      <w:pPr>
        <w:numPr>
          <w:ilvl w:val="0"/>
          <w:numId w:val="4"/>
        </w:numPr>
        <w:jc w:val="both"/>
        <w:rPr>
          <w:sz w:val="22"/>
          <w:szCs w:val="22"/>
        </w:rPr>
      </w:pPr>
      <w:r>
        <w:rPr>
          <w:sz w:val="22"/>
          <w:szCs w:val="22"/>
          <w:lang w:val="ro-RO"/>
        </w:rPr>
        <w:t>Rosu Maria</w:t>
      </w:r>
    </w:p>
    <w:p>
      <w:pPr>
        <w:numPr>
          <w:ilvl w:val="0"/>
          <w:numId w:val="4"/>
        </w:numPr>
        <w:jc w:val="both"/>
        <w:rPr>
          <w:sz w:val="22"/>
          <w:szCs w:val="22"/>
        </w:rPr>
      </w:pPr>
      <w:r>
        <w:rPr>
          <w:sz w:val="22"/>
          <w:szCs w:val="22"/>
          <w:lang w:val="ro-RO"/>
        </w:rPr>
        <w:t>Zainea Georgiana</w:t>
      </w:r>
    </w:p>
    <w:p>
      <w:pPr>
        <w:numPr>
          <w:ilvl w:val="0"/>
          <w:numId w:val="4"/>
        </w:numPr>
        <w:jc w:val="both"/>
        <w:rPr>
          <w:sz w:val="22"/>
          <w:szCs w:val="22"/>
        </w:rPr>
      </w:pPr>
      <w:r>
        <w:rPr>
          <w:sz w:val="22"/>
          <w:szCs w:val="22"/>
          <w:lang w:val="ro-RO"/>
        </w:rPr>
        <w:t>Cocos Adrian Florin</w:t>
      </w:r>
    </w:p>
    <w:p>
      <w:pPr>
        <w:numPr>
          <w:ilvl w:val="0"/>
          <w:numId w:val="4"/>
        </w:numPr>
        <w:jc w:val="both"/>
        <w:rPr>
          <w:sz w:val="22"/>
          <w:szCs w:val="22"/>
        </w:rPr>
      </w:pPr>
      <w:r>
        <w:rPr>
          <w:sz w:val="22"/>
          <w:szCs w:val="22"/>
          <w:lang w:val="ro-RO"/>
        </w:rPr>
        <w:t>Trasca Aurora</w:t>
      </w:r>
    </w:p>
    <w:p>
      <w:pPr>
        <w:numPr>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1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jc w:val="both"/>
        <w:rPr>
          <w:rFonts w:ascii="Times New Roman" w:hAnsi="Times New Roman"/>
        </w:rPr>
      </w:pPr>
      <w:r>
        <w:rPr>
          <w:rFonts w:ascii="Times New Roman" w:hAnsi="Times New Roman"/>
        </w:rPr>
        <w:t xml:space="preserve">  </w:t>
      </w:r>
    </w:p>
    <w:p>
      <w:pPr>
        <w:pStyle w:val="11"/>
        <w:jc w:val="both"/>
        <w:rPr>
          <w:rFonts w:ascii="Times New Roman" w:hAnsi="Times New Roman"/>
        </w:rPr>
      </w:pPr>
    </w:p>
    <w:p>
      <w:pPr>
        <w:pStyle w:val="11"/>
        <w:ind w:left="6480" w:firstLine="720"/>
        <w:jc w:val="center"/>
        <w:rPr>
          <w:rFonts w:ascii="Times New Roman" w:hAnsi="Times New Roman"/>
        </w:rPr>
      </w:pPr>
      <w:r>
        <w:rPr>
          <w:rFonts w:ascii="Times New Roman" w:hAnsi="Times New Roman"/>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bookmarkStart w:id="0" w:name="_GoBack"/>
      <w:bookmarkEnd w:id="0"/>
    </w:p>
    <w:sectPr>
      <w:pgSz w:w="11906" w:h="16838"/>
      <w:pgMar w:top="709" w:right="84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8FDCB0D"/>
    <w:multiLevelType w:val="singleLevel"/>
    <w:tmpl w:val="58FDCB0D"/>
    <w:lvl w:ilvl="0" w:tentative="0">
      <w:start w:val="1"/>
      <w:numFmt w:val="decimal"/>
      <w:suff w:val="space"/>
      <w:lvlText w:val="%1."/>
      <w:lvlJc w:val="left"/>
    </w:lvl>
  </w:abstractNum>
  <w:abstractNum w:abstractNumId="3">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D01"/>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1E300E8C"/>
    <w:rsid w:val="2E433453"/>
    <w:rsid w:val="518D5F46"/>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99"/>
    <w:rPr>
      <w:color w:val="0000FF"/>
      <w:u w:val="single"/>
    </w:rPr>
  </w:style>
  <w:style w:type="paragraph" w:customStyle="1" w:styleId="5">
    <w:name w:val="Default Text"/>
    <w:basedOn w:val="1"/>
    <w:qFormat/>
    <w:uiPriority w:val="0"/>
    <w:rPr>
      <w:rFonts w:eastAsia="Calibri"/>
      <w:lang w:val="ro-RO"/>
    </w:rPr>
  </w:style>
  <w:style w:type="character" w:customStyle="1" w:styleId="6">
    <w:name w:val="noticetext"/>
    <w:qFormat/>
    <w:uiPriority w:val="99"/>
  </w:style>
  <w:style w:type="paragraph" w:customStyle="1" w:styleId="7">
    <w:name w:val="Caracter Caracter"/>
    <w:basedOn w:val="1"/>
    <w:qFormat/>
    <w:uiPriority w:val="99"/>
    <w:rPr>
      <w:rFonts w:ascii="MS Sans Serif" w:hAnsi="MS Sans Serif" w:eastAsia="Calibri" w:cs="MS Sans Serif"/>
      <w:lang w:val="pl-PL" w:eastAsia="pl-PL"/>
    </w:rPr>
  </w:style>
  <w:style w:type="paragraph" w:customStyle="1" w:styleId="8">
    <w:name w:val="WW-Default"/>
    <w:qFormat/>
    <w:uiPriority w:val="0"/>
    <w:pPr>
      <w:suppressAutoHyphens/>
      <w:autoSpaceDE w:val="0"/>
    </w:pPr>
    <w:rPr>
      <w:rFonts w:ascii="Times New Roman" w:hAnsi="Times New Roman" w:eastAsia="Times New Roman" w:cs="Times New Roman"/>
      <w:color w:val="000000"/>
      <w:sz w:val="24"/>
      <w:szCs w:val="24"/>
      <w:lang w:val="en-US" w:eastAsia="ar-SA" w:bidi="ar-SA"/>
    </w:rPr>
  </w:style>
  <w:style w:type="paragraph" w:customStyle="1" w:styleId="9">
    <w:name w:val="List Paragraph"/>
    <w:basedOn w:val="1"/>
    <w:qFormat/>
    <w:uiPriority w:val="99"/>
    <w:pPr>
      <w:ind w:left="720"/>
      <w:contextualSpacing/>
      <w:jc w:val="both"/>
    </w:pPr>
    <w:rPr>
      <w:rFonts w:ascii="Calibri" w:hAnsi="Calibri" w:eastAsia="Calibri"/>
      <w:sz w:val="22"/>
      <w:szCs w:val="22"/>
      <w:lang w:val="ro-RO"/>
    </w:rPr>
  </w:style>
  <w:style w:type="paragraph" w:customStyle="1" w:styleId="10">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paragraph" w:customStyle="1" w:styleId="11">
    <w:name w:val="No Spacing"/>
    <w:link w:val="12"/>
    <w:qFormat/>
    <w:uiPriority w:val="1"/>
    <w:rPr>
      <w:rFonts w:ascii="Calibri" w:hAnsi="Calibri" w:eastAsia="Calibri" w:cs="Times New Roman"/>
      <w:sz w:val="22"/>
      <w:szCs w:val="22"/>
      <w:lang w:val="ro-RO" w:eastAsia="en-US" w:bidi="ar-SA"/>
    </w:rPr>
  </w:style>
  <w:style w:type="character" w:customStyle="1" w:styleId="12">
    <w:name w:val="No Spacing Char"/>
    <w:basedOn w:val="2"/>
    <w:link w:val="11"/>
    <w:qFormat/>
    <w:uiPriority w:val="1"/>
    <w:rPr>
      <w:lang w:val="ro-RO"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2150</Words>
  <Characters>12256</Characters>
  <Lines>102</Lines>
  <Paragraphs>28</Paragraphs>
  <ScaleCrop>false</ScaleCrop>
  <LinksUpToDate>false</LinksUpToDate>
  <CharactersWithSpaces>14378</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2016-06-30T09:10:00Z</dcterms:created>
  <dc:creator>elena vasile</dc:creator>
  <cp:lastModifiedBy>Achizitii</cp:lastModifiedBy>
  <dcterms:modified xsi:type="dcterms:W3CDTF">2017-04-24T10:00:18Z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